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6" w:rsidRPr="00F83077" w:rsidRDefault="00A96B26" w:rsidP="00A96B26">
      <w:pPr>
        <w:pStyle w:val="Heading1"/>
        <w:spacing w:line="280" w:lineRule="auto"/>
        <w:rPr>
          <w:lang w:val="fr-FR"/>
        </w:rPr>
      </w:pPr>
      <w:r w:rsidRPr="00A96B26">
        <w:rPr>
          <w:lang w:val="fr-FR"/>
        </w:rPr>
        <w:t>CCT 104</w:t>
      </w:r>
    </w:p>
    <w:p w:rsidR="00032AFE" w:rsidRPr="00F83077" w:rsidRDefault="00227E26" w:rsidP="00A96B26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A96B26" w:rsidRPr="00A96B26">
        <w:rPr>
          <w:lang w:val="fr-FR"/>
        </w:rPr>
        <w:t>développement des compétences -</w:t>
      </w:r>
    </w:p>
    <w:p w:rsidR="008404D3" w:rsidRPr="00F83077" w:rsidRDefault="00032AFE" w:rsidP="00AA6878">
      <w:pPr>
        <w:spacing w:after="160"/>
        <w:rPr>
          <w:lang w:val="fr-FR"/>
        </w:rPr>
      </w:pPr>
      <w:r w:rsidRPr="00F83077">
        <w:rPr>
          <w:lang w:val="fr-FR"/>
        </w:rPr>
        <w:t>(1)</w:t>
      </w:r>
    </w:p>
    <w:p w:rsidR="00032AFE" w:rsidRPr="00F83077" w:rsidRDefault="00A96B26" w:rsidP="00C30E68">
      <w:pPr>
        <w:spacing w:after="160" w:line="280" w:lineRule="auto"/>
        <w:rPr>
          <w:lang w:val="fr-FR"/>
        </w:rPr>
      </w:pPr>
      <w:r w:rsidRPr="00C30E68">
        <w:rPr>
          <w:lang w:val="fr-FR"/>
        </w:rPr>
        <w:t xml:space="preserve">L’IFP organise des </w:t>
      </w:r>
      <w:r w:rsidRPr="00C30E68">
        <w:rPr>
          <w:b/>
          <w:lang w:val="fr-FR"/>
        </w:rPr>
        <w:t>formations</w:t>
      </w:r>
      <w:r w:rsidRPr="00C30E68">
        <w:rPr>
          <w:lang w:val="fr-FR"/>
        </w:rPr>
        <w:t xml:space="preserve"> </w:t>
      </w:r>
      <w:bookmarkStart w:id="0" w:name="_GoBack"/>
      <w:bookmarkEnd w:id="0"/>
      <w:r w:rsidRPr="00C30E68">
        <w:rPr>
          <w:lang w:val="fr-FR"/>
        </w:rPr>
        <w:t>gratuitement ou à un tarif fortement réduit.</w:t>
      </w:r>
      <w:r w:rsidR="00A24139" w:rsidRPr="00F83077">
        <w:rPr>
          <w:lang w:val="fr-FR"/>
        </w:rPr>
        <w:t xml:space="preserve"> </w:t>
      </w:r>
      <w:r w:rsidRPr="00C30E68">
        <w:rPr>
          <w:lang w:val="fr-FR"/>
        </w:rPr>
        <w:t xml:space="preserve">Les entreprises peuvent s’inscrire à l’offre </w:t>
      </w:r>
      <w:r w:rsidR="00DE1445" w:rsidRPr="00C30E68">
        <w:rPr>
          <w:lang w:val="fr-FR"/>
        </w:rPr>
        <w:t>interentreprises</w:t>
      </w:r>
      <w:r w:rsidRPr="00C30E68">
        <w:rPr>
          <w:lang w:val="fr-FR"/>
        </w:rPr>
        <w:t xml:space="preserve"> ou demander une formation sur mesure adaptée à </w:t>
      </w:r>
      <w:r w:rsidR="00C30E68" w:rsidRPr="00C30E68">
        <w:rPr>
          <w:lang w:val="fr-FR"/>
        </w:rPr>
        <w:t>leurs besoins ou à ceux de l</w:t>
      </w:r>
      <w:r w:rsidRPr="00C30E68">
        <w:rPr>
          <w:lang w:val="fr-FR"/>
        </w:rPr>
        <w:t>e</w:t>
      </w:r>
      <w:r w:rsidR="00C30E68" w:rsidRPr="00C30E68">
        <w:rPr>
          <w:lang w:val="fr-FR"/>
        </w:rPr>
        <w:t>ur</w:t>
      </w:r>
      <w:r w:rsidRPr="00C30E68">
        <w:rPr>
          <w:lang w:val="fr-FR"/>
        </w:rPr>
        <w:t>s travailleurs.</w:t>
      </w:r>
      <w:r w:rsidR="00A24139" w:rsidRPr="00F83077">
        <w:rPr>
          <w:lang w:val="fr-FR"/>
        </w:rPr>
        <w:t xml:space="preserve"> </w:t>
      </w:r>
      <w:r w:rsidRPr="00C30E68">
        <w:rPr>
          <w:lang w:val="fr-FR"/>
        </w:rPr>
        <w:t xml:space="preserve">Les formations abordent les </w:t>
      </w:r>
      <w:r w:rsidR="00D26199">
        <w:rPr>
          <w:lang w:val="fr-FR"/>
        </w:rPr>
        <w:t xml:space="preserve">domaines et les </w:t>
      </w:r>
      <w:r w:rsidRPr="00C30E68">
        <w:rPr>
          <w:lang w:val="fr-FR"/>
        </w:rPr>
        <w:t>thèmes suivants :</w:t>
      </w:r>
    </w:p>
    <w:p w:rsidR="00032AFE" w:rsidRPr="00C30E68" w:rsidRDefault="00A96B26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Sécurité alimentaire &amp; autocontrôle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 xml:space="preserve">HACCP, hygiène, nettoyage et désinfection, étiquetage, autocontrôle, </w:t>
      </w:r>
      <w:proofErr w:type="spellStart"/>
      <w:r w:rsidRPr="00C30E68">
        <w:rPr>
          <w:lang w:val="fr-FR"/>
        </w:rPr>
        <w:t>Fedis</w:t>
      </w:r>
      <w:proofErr w:type="spellEnd"/>
      <w:r w:rsidRPr="00C30E68">
        <w:rPr>
          <w:lang w:val="fr-FR"/>
        </w:rPr>
        <w:t xml:space="preserve"> Food pour les PME, BRC, IFS, ISO 22000, auditeur interne, formation GMP-HACCP, politique en matière d’hygiène, etc.</w:t>
      </w:r>
    </w:p>
    <w:p w:rsidR="00032AFE" w:rsidRPr="00C30E68" w:rsidRDefault="00A96B26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Fo</w:t>
      </w:r>
      <w:r w:rsidR="00A544A1">
        <w:rPr>
          <w:b/>
          <w:lang w:val="fr-FR"/>
        </w:rPr>
        <w:t xml:space="preserve">rmations spécifiques au secteur </w:t>
      </w:r>
      <w:r w:rsidRPr="00C30E68">
        <w:rPr>
          <w:b/>
          <w:lang w:val="fr-FR"/>
        </w:rPr>
        <w:t>alimentaire – technologie alimentaire :</w:t>
      </w:r>
      <w:r w:rsidR="00A24139" w:rsidRPr="00C30E68">
        <w:rPr>
          <w:b/>
          <w:lang w:val="fr-FR"/>
        </w:rPr>
        <w:t xml:space="preserve"> </w:t>
      </w:r>
      <w:r w:rsidRPr="00C30E68">
        <w:rPr>
          <w:lang w:val="fr-FR"/>
        </w:rPr>
        <w:t xml:space="preserve">diverses formations en technologie de production (distillation, lyophilisation, </w:t>
      </w:r>
      <w:r w:rsidR="00D74386">
        <w:rPr>
          <w:lang w:val="fr-FR"/>
        </w:rPr>
        <w:t>atomisation</w:t>
      </w:r>
      <w:r w:rsidRPr="00C30E68">
        <w:rPr>
          <w:lang w:val="fr-FR"/>
        </w:rPr>
        <w:t xml:space="preserve">, </w:t>
      </w:r>
      <w:r w:rsidR="00D74386">
        <w:rPr>
          <w:lang w:val="fr-FR"/>
        </w:rPr>
        <w:t>pasteurisation</w:t>
      </w:r>
      <w:r w:rsidRPr="00C30E68">
        <w:rPr>
          <w:lang w:val="fr-FR"/>
        </w:rPr>
        <w:t xml:space="preserve">, filtration, etc.), des formations pour le secteur de la viande, des formations pour boulangers, </w:t>
      </w:r>
      <w:r w:rsidR="00D74386">
        <w:rPr>
          <w:lang w:val="fr-FR"/>
        </w:rPr>
        <w:t>nutrition</w:t>
      </w:r>
      <w:r w:rsidRPr="00C30E68">
        <w:rPr>
          <w:lang w:val="fr-FR"/>
        </w:rPr>
        <w:t xml:space="preserve">, production et transformation du chocolat, des formations en produits laitiers (lait, yaourt, fromage, etc.), explosion de poussière pour les meuneries, brassage de la bière, production d'aliments </w:t>
      </w:r>
      <w:r w:rsidR="00D74386">
        <w:rPr>
          <w:lang w:val="fr-FR"/>
        </w:rPr>
        <w:t>pour bétail</w:t>
      </w:r>
      <w:r w:rsidRPr="00C30E68">
        <w:rPr>
          <w:lang w:val="fr-FR"/>
        </w:rPr>
        <w:t>, etc.</w:t>
      </w:r>
    </w:p>
    <w:p w:rsidR="00032AFE" w:rsidRPr="00C30E68" w:rsidRDefault="00A96B26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Logistique :</w:t>
      </w:r>
      <w:r w:rsidR="00A24139" w:rsidRPr="00C30E68">
        <w:rPr>
          <w:b/>
          <w:lang w:val="fr-FR"/>
        </w:rPr>
        <w:t xml:space="preserve"> </w:t>
      </w:r>
      <w:r w:rsidR="00C30E68" w:rsidRPr="00C30E68">
        <w:rPr>
          <w:lang w:val="fr-FR"/>
        </w:rPr>
        <w:t>é</w:t>
      </w:r>
      <w:r w:rsidRPr="00C30E68">
        <w:rPr>
          <w:lang w:val="fr-FR"/>
        </w:rPr>
        <w:t xml:space="preserve">lévateur à fourche, </w:t>
      </w:r>
      <w:r w:rsidR="00A544A1">
        <w:rPr>
          <w:lang w:val="fr-FR"/>
        </w:rPr>
        <w:t>chariot élévateur à mât rétractable</w:t>
      </w:r>
      <w:r w:rsidRPr="00C30E68">
        <w:rPr>
          <w:lang w:val="fr-FR"/>
        </w:rPr>
        <w:t xml:space="preserve">, magasinier, </w:t>
      </w:r>
      <w:proofErr w:type="spellStart"/>
      <w:r w:rsidRPr="00C30E68">
        <w:rPr>
          <w:lang w:val="fr-FR"/>
        </w:rPr>
        <w:t>électrotranspalette</w:t>
      </w:r>
      <w:proofErr w:type="spellEnd"/>
      <w:r w:rsidRPr="00C30E68">
        <w:rPr>
          <w:lang w:val="fr-FR"/>
        </w:rPr>
        <w:t xml:space="preserve">, </w:t>
      </w:r>
      <w:r w:rsidR="00A544A1">
        <w:rPr>
          <w:lang w:val="fr-FR"/>
        </w:rPr>
        <w:t>chariot préparateur de commandes</w:t>
      </w:r>
      <w:r w:rsidRPr="00C30E68">
        <w:rPr>
          <w:lang w:val="fr-FR"/>
        </w:rPr>
        <w:t>, gerbeur, permis C, permis CE, organisation de magasins et d’entrepôts, organisation du transport,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Technique, entretien et production :</w:t>
      </w:r>
      <w:r w:rsidR="00A24139" w:rsidRPr="00C30E68">
        <w:rPr>
          <w:lang w:val="fr-FR"/>
        </w:rPr>
        <w:t xml:space="preserve"> </w:t>
      </w:r>
      <w:r w:rsidR="00C30E68" w:rsidRPr="00C30E68">
        <w:rPr>
          <w:lang w:val="fr-FR"/>
        </w:rPr>
        <w:t>é</w:t>
      </w:r>
      <w:r w:rsidRPr="00C30E68">
        <w:rPr>
          <w:lang w:val="fr-FR"/>
        </w:rPr>
        <w:t xml:space="preserve">lectricité et techniques de régulation, mécanique d’entretien, BA4/BA5, recherche analytique de pannes, SMED (réduction du temps d’arrêt des machines), pneumatique, hydraulique, </w:t>
      </w:r>
      <w:proofErr w:type="spellStart"/>
      <w:r w:rsidRPr="00C30E68">
        <w:rPr>
          <w:lang w:val="fr-FR"/>
        </w:rPr>
        <w:t>autocad</w:t>
      </w:r>
      <w:proofErr w:type="spellEnd"/>
      <w:r w:rsidRPr="00C30E68">
        <w:rPr>
          <w:lang w:val="fr-FR"/>
        </w:rPr>
        <w:t>, réglage de la fréquence, technique des roulements, automatisation,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Environnement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sensibilisation aux bonnes pratiques environnementales, épuration des eaux usées, auditeur interne environnement selon ISO 14001,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Sécurité et bien-être au travail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sensibilisation à la sécurité au travail, premiers soins, ergonomie, prévention et lutte contre l’incendie, conseiller en prévention, protection technique &amp; contrôle de machine, politique alimentaire, politique en matière de tabagisme,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Aptitudes commerciales et financières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négociation, finances et comptabilité, traitement des plaintes, vendre efficacement, prospection, gestion des exportations,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Langue</w:t>
      </w:r>
      <w:r w:rsidR="00A544A1">
        <w:rPr>
          <w:b/>
          <w:lang w:val="fr-FR"/>
        </w:rPr>
        <w:t>s </w:t>
      </w:r>
      <w:r w:rsidRPr="00C30E68">
        <w:rPr>
          <w:b/>
          <w:lang w:val="fr-FR"/>
        </w:rPr>
        <w:t>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néerlandais, français ou allemand sur le lieu de travail pour allochtones ou personnes peu scolarisées, nouvelle orthographe, anglais, polonais, etc.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Informatique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Word, Excel, Access, Visual Basic, SAP, suites comptables, banques de données, compétences ICT pour personnes peu scolarisées, etc.</w:t>
      </w:r>
      <w:r w:rsidR="00032AFE" w:rsidRPr="00C30E68">
        <w:rPr>
          <w:lang w:val="fr-FR"/>
        </w:rPr>
        <w:t xml:space="preserve"> </w:t>
      </w:r>
    </w:p>
    <w:p w:rsidR="00032AFE" w:rsidRPr="00C30E68" w:rsidRDefault="00215BA9" w:rsidP="00C30E68">
      <w:pPr>
        <w:pStyle w:val="ListParagraph"/>
        <w:spacing w:line="280" w:lineRule="auto"/>
        <w:rPr>
          <w:lang w:val="fr-FR"/>
        </w:rPr>
      </w:pPr>
      <w:r w:rsidRPr="00C30E68">
        <w:rPr>
          <w:b/>
          <w:lang w:val="fr-FR"/>
        </w:rPr>
        <w:t>Communication et leadership :</w:t>
      </w:r>
      <w:r w:rsidR="00A24139" w:rsidRPr="00C30E68">
        <w:rPr>
          <w:lang w:val="fr-FR"/>
        </w:rPr>
        <w:t xml:space="preserve"> </w:t>
      </w:r>
      <w:r w:rsidRPr="00C30E68">
        <w:rPr>
          <w:lang w:val="fr-FR"/>
        </w:rPr>
        <w:t>coaching d’une équipe, communication assertive, mener des entretiens d’évaluation, techniques de négociation, faire des présentations, gestion de projet, gestion du te</w:t>
      </w:r>
      <w:r w:rsidR="00C30E68" w:rsidRPr="00C30E68">
        <w:rPr>
          <w:lang w:val="fr-FR"/>
        </w:rPr>
        <w:t>mps et organisation personnelle, etc.</w:t>
      </w:r>
    </w:p>
    <w:p w:rsidR="00E020CF" w:rsidRDefault="00215BA9" w:rsidP="00E020CF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A24139" w:rsidRPr="00F83077">
        <w:rPr>
          <w:rStyle w:val="SubtleEmphasis"/>
          <w:lang w:val="fr-FR"/>
        </w:rPr>
        <w:t xml:space="preserve"> </w:t>
      </w:r>
      <w:r w:rsidRPr="00AE730C">
        <w:rPr>
          <w:rStyle w:val="SubtleEmphasis"/>
          <w:lang w:val="fr-FR"/>
        </w:rPr>
        <w:t xml:space="preserve">consultez </w:t>
      </w:r>
      <w:hyperlink r:id="rId8" w:history="1">
        <w:r w:rsidR="002E75AF" w:rsidRPr="00AB2486">
          <w:rPr>
            <w:rStyle w:val="Hyperlink"/>
            <w:rFonts w:ascii="Calibri" w:hAnsi="Calibri"/>
            <w:i/>
            <w:lang w:val="fr-FR"/>
          </w:rPr>
          <w:t>www.ipv-ifp.be/Chercher</w:t>
        </w:r>
      </w:hyperlink>
      <w:r w:rsidR="005D688A">
        <w:rPr>
          <w:rStyle w:val="SubtleEmphasis"/>
          <w:i w:val="0"/>
          <w:iCs w:val="0"/>
          <w:lang w:val="fr-FR"/>
        </w:rPr>
        <w:t xml:space="preserve"> </w:t>
      </w:r>
      <w:r w:rsidRPr="00AE730C">
        <w:rPr>
          <w:rStyle w:val="SubtleEmphasis"/>
          <w:lang w:val="fr-FR"/>
        </w:rPr>
        <w:t xml:space="preserve">ou </w:t>
      </w:r>
      <w:r w:rsidR="00D74386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9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D74386">
        <w:rPr>
          <w:rStyle w:val="SubtleEmphasis"/>
          <w:lang w:val="fr-FR"/>
        </w:rPr>
        <w:t>)</w:t>
      </w:r>
      <w:r w:rsidR="00E020CF">
        <w:rPr>
          <w:rStyle w:val="SubtleEmphasis"/>
          <w:lang w:val="fr-FR"/>
        </w:rPr>
        <w:t xml:space="preserve"> </w:t>
      </w:r>
      <w:r w:rsidR="00E020CF">
        <w:rPr>
          <w:rStyle w:val="SubtleEmphasis"/>
          <w:lang w:val="fr-FR"/>
        </w:rPr>
        <w:br w:type="page"/>
      </w:r>
    </w:p>
    <w:p w:rsidR="00227E26" w:rsidRPr="00512FA2" w:rsidRDefault="00215BA9" w:rsidP="002E75AF">
      <w:pPr>
        <w:pStyle w:val="Heading1"/>
        <w:rPr>
          <w:lang w:val="fr-BE"/>
        </w:rPr>
      </w:pPr>
      <w:r w:rsidRPr="00512FA2">
        <w:rPr>
          <w:lang w:val="fr-BE"/>
        </w:rPr>
        <w:lastRenderedPageBreak/>
        <w:t>CCT 104</w:t>
      </w:r>
    </w:p>
    <w:p w:rsidR="00227E26" w:rsidRPr="00F83077" w:rsidRDefault="00227E26" w:rsidP="00215BA9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215BA9" w:rsidRPr="00215BA9">
        <w:rPr>
          <w:lang w:val="fr-FR"/>
        </w:rPr>
        <w:t>développement des compétences -</w:t>
      </w:r>
    </w:p>
    <w:p w:rsidR="00A24139" w:rsidRPr="00F83077" w:rsidRDefault="00A24139" w:rsidP="002E75AF">
      <w:pPr>
        <w:spacing w:after="0"/>
        <w:rPr>
          <w:lang w:val="fr-FR"/>
        </w:rPr>
      </w:pPr>
      <w:r w:rsidRPr="00F83077">
        <w:rPr>
          <w:lang w:val="fr-FR"/>
        </w:rPr>
        <w:t>(2)</w:t>
      </w:r>
    </w:p>
    <w:p w:rsidR="00A24139" w:rsidRPr="00F83077" w:rsidRDefault="00215BA9" w:rsidP="00215BA9">
      <w:pPr>
        <w:spacing w:line="280" w:lineRule="auto"/>
        <w:rPr>
          <w:lang w:val="fr-FR"/>
        </w:rPr>
      </w:pPr>
      <w:r w:rsidRPr="00215BA9">
        <w:rPr>
          <w:lang w:val="fr-FR"/>
        </w:rPr>
        <w:t xml:space="preserve">L’IFP aide les entreprises alimentaires à donner une place à part entière à la formation et à l’évolution des travailleurs au sein de </w:t>
      </w:r>
      <w:r w:rsidR="004C5272">
        <w:rPr>
          <w:lang w:val="fr-FR"/>
        </w:rPr>
        <w:t>leur</w:t>
      </w:r>
      <w:r w:rsidRPr="00215BA9">
        <w:rPr>
          <w:lang w:val="fr-FR"/>
        </w:rPr>
        <w:t xml:space="preserve"> politique du personnel en </w:t>
      </w:r>
      <w:r w:rsidR="004C5272">
        <w:rPr>
          <w:lang w:val="fr-FR"/>
        </w:rPr>
        <w:t xml:space="preserve">les </w:t>
      </w:r>
      <w:r w:rsidRPr="00215BA9">
        <w:rPr>
          <w:lang w:val="fr-FR"/>
        </w:rPr>
        <w:t>conseillant en matière de :</w:t>
      </w:r>
    </w:p>
    <w:p w:rsidR="00F96275" w:rsidRPr="00215BA9" w:rsidRDefault="00107D2A" w:rsidP="00215BA9">
      <w:pPr>
        <w:pStyle w:val="ListParagraph"/>
        <w:spacing w:line="280" w:lineRule="auto"/>
        <w:rPr>
          <w:lang w:val="fr-FR"/>
        </w:rPr>
      </w:pPr>
      <w:r w:rsidRPr="00215BA9">
        <w:rPr>
          <w:b/>
          <w:lang w:val="fr-FR"/>
        </w:rPr>
        <w:t>Plan</w:t>
      </w:r>
      <w:r>
        <w:rPr>
          <w:b/>
          <w:lang w:val="fr-FR"/>
        </w:rPr>
        <w:t>ification des</w:t>
      </w:r>
      <w:r w:rsidR="00215BA9" w:rsidRPr="00215BA9">
        <w:rPr>
          <w:b/>
          <w:lang w:val="fr-FR"/>
        </w:rPr>
        <w:t xml:space="preserve"> formation</w:t>
      </w:r>
      <w:r>
        <w:rPr>
          <w:b/>
          <w:lang w:val="fr-FR"/>
        </w:rPr>
        <w:t>s</w:t>
      </w:r>
      <w:r w:rsidR="00215BA9" w:rsidRPr="00215BA9">
        <w:rPr>
          <w:b/>
          <w:lang w:val="fr-FR"/>
        </w:rPr>
        <w:t> :</w:t>
      </w:r>
      <w:r w:rsidR="00B8760D" w:rsidRPr="00215BA9">
        <w:rPr>
          <w:lang w:val="fr-FR"/>
        </w:rPr>
        <w:t xml:space="preserve"> </w:t>
      </w:r>
      <w:r w:rsidR="00215BA9" w:rsidRPr="00215BA9">
        <w:rPr>
          <w:lang w:val="fr-FR"/>
        </w:rPr>
        <w:t>un bon plan de formation est la base d’une politique de formation à part entière.</w:t>
      </w:r>
      <w:r w:rsidR="00F96275" w:rsidRPr="00215BA9">
        <w:rPr>
          <w:lang w:val="fr-FR"/>
        </w:rPr>
        <w:t xml:space="preserve"> </w:t>
      </w:r>
      <w:r w:rsidR="00346A94">
        <w:rPr>
          <w:lang w:val="fr-FR"/>
        </w:rPr>
        <w:t>De manière très structurée, i</w:t>
      </w:r>
      <w:r w:rsidR="00215BA9" w:rsidRPr="00215BA9">
        <w:rPr>
          <w:lang w:val="fr-FR"/>
        </w:rPr>
        <w:t xml:space="preserve">l est déterminé quelles formations et quelles actions sont nécessaires, comment l’entreprise les aborde et les implémente au mieux et, au final, comment </w:t>
      </w:r>
      <w:r w:rsidR="00346A94">
        <w:rPr>
          <w:lang w:val="fr-FR"/>
        </w:rPr>
        <w:t>elle</w:t>
      </w:r>
      <w:r w:rsidR="00215BA9" w:rsidRPr="00215BA9">
        <w:rPr>
          <w:lang w:val="fr-FR"/>
        </w:rPr>
        <w:t xml:space="preserve"> en assure le suivi et les concrétise.</w:t>
      </w:r>
    </w:p>
    <w:p w:rsidR="00B8760D" w:rsidRPr="00C30E68" w:rsidRDefault="00A544A1" w:rsidP="00C30E68">
      <w:pPr>
        <w:pStyle w:val="ListParagraph"/>
        <w:spacing w:line="280" w:lineRule="auto"/>
        <w:rPr>
          <w:lang w:val="fr-FR"/>
        </w:rPr>
      </w:pPr>
      <w:r>
        <w:rPr>
          <w:b/>
          <w:lang w:val="fr-FR"/>
        </w:rPr>
        <w:t>O</w:t>
      </w:r>
      <w:r w:rsidR="00215BA9" w:rsidRPr="00C30E68">
        <w:rPr>
          <w:b/>
          <w:lang w:val="fr-FR"/>
        </w:rPr>
        <w:t xml:space="preserve">rganisation de l’apprentissage </w:t>
      </w:r>
      <w:r w:rsidR="00346A94">
        <w:rPr>
          <w:b/>
          <w:lang w:val="fr-FR"/>
        </w:rPr>
        <w:t>sur le lieu de travail</w:t>
      </w:r>
      <w:r w:rsidR="00215BA9" w:rsidRPr="00C30E68">
        <w:rPr>
          <w:b/>
          <w:lang w:val="fr-FR"/>
        </w:rPr>
        <w:t> :</w:t>
      </w:r>
      <w:r w:rsidR="003B7FED" w:rsidRPr="00C30E68">
        <w:rPr>
          <w:b/>
          <w:lang w:val="fr-FR"/>
        </w:rPr>
        <w:t xml:space="preserve"> </w:t>
      </w:r>
      <w:r w:rsidR="00215BA9" w:rsidRPr="00C30E68">
        <w:rPr>
          <w:lang w:val="fr-FR"/>
        </w:rPr>
        <w:t xml:space="preserve">la formation sur le </w:t>
      </w:r>
      <w:r w:rsidR="00346A94">
        <w:rPr>
          <w:lang w:val="fr-FR"/>
        </w:rPr>
        <w:t>tas ou sur le poste</w:t>
      </w:r>
      <w:r w:rsidR="00215BA9" w:rsidRPr="00C30E68">
        <w:rPr>
          <w:lang w:val="fr-FR"/>
        </w:rPr>
        <w:t xml:space="preserve"> n’est rentable que si elle est bien organisée.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>L’entreprise a-t-elle choisi des formateurs experts ou des parrains et marraines ?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 xml:space="preserve">Fait-on appel à des manuels ou </w:t>
      </w:r>
      <w:r w:rsidR="00C30E68" w:rsidRPr="00C30E68">
        <w:rPr>
          <w:lang w:val="fr-FR"/>
        </w:rPr>
        <w:t xml:space="preserve">à </w:t>
      </w:r>
      <w:r w:rsidR="00215BA9" w:rsidRPr="00C30E68">
        <w:rPr>
          <w:lang w:val="fr-FR"/>
        </w:rPr>
        <w:t>de brèves instructions de travail ?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>Comment assure-t-on le suivi de l’apprentissage des travailleurs ?</w:t>
      </w:r>
      <w:r w:rsidR="003B7FED" w:rsidRPr="00C30E68">
        <w:rPr>
          <w:lang w:val="fr-FR"/>
        </w:rPr>
        <w:t xml:space="preserve"> </w:t>
      </w:r>
      <w:r w:rsidR="00215BA9" w:rsidRPr="00C30E68">
        <w:rPr>
          <w:lang w:val="fr-FR"/>
        </w:rPr>
        <w:t>Et la matière apprise est-elle également appliquée dans la pratique ?</w:t>
      </w:r>
    </w:p>
    <w:p w:rsidR="00B8760D" w:rsidRPr="00215BA9" w:rsidRDefault="00215BA9" w:rsidP="00215BA9">
      <w:pPr>
        <w:pStyle w:val="ListParagraph"/>
        <w:spacing w:line="280" w:lineRule="auto"/>
        <w:rPr>
          <w:lang w:val="fr-FR"/>
        </w:rPr>
      </w:pPr>
      <w:r w:rsidRPr="00215BA9">
        <w:rPr>
          <w:b/>
          <w:lang w:val="fr-FR"/>
        </w:rPr>
        <w:t>Gestion des compétences :</w:t>
      </w:r>
      <w:r w:rsidR="00F96275" w:rsidRPr="00215BA9">
        <w:rPr>
          <w:lang w:val="fr-FR"/>
        </w:rPr>
        <w:t xml:space="preserve"> </w:t>
      </w:r>
      <w:r w:rsidRPr="00215BA9">
        <w:rPr>
          <w:lang w:val="fr-FR"/>
        </w:rPr>
        <w:t>la gestion des compétences permet aux entreprises d’engager, d’employer, d’évaluer et de faire évoluer les travailleurs de manière structurée et objective sur la base de leur talent et de leurs possibilités.</w:t>
      </w:r>
    </w:p>
    <w:p w:rsidR="00B8760D" w:rsidRPr="00215BA9" w:rsidRDefault="00A544A1" w:rsidP="00215BA9">
      <w:pPr>
        <w:pStyle w:val="ListParagraph"/>
        <w:spacing w:line="280" w:lineRule="auto"/>
        <w:rPr>
          <w:lang w:val="fr-FR"/>
        </w:rPr>
      </w:pPr>
      <w:r>
        <w:rPr>
          <w:b/>
          <w:lang w:val="fr-FR"/>
        </w:rPr>
        <w:t>M</w:t>
      </w:r>
      <w:r w:rsidR="00215BA9" w:rsidRPr="00215BA9">
        <w:rPr>
          <w:b/>
          <w:lang w:val="fr-FR"/>
        </w:rPr>
        <w:t>esur</w:t>
      </w:r>
      <w:r w:rsidR="00346A94">
        <w:rPr>
          <w:b/>
          <w:lang w:val="fr-FR"/>
        </w:rPr>
        <w:t xml:space="preserve">e et </w:t>
      </w:r>
      <w:r w:rsidR="00215BA9" w:rsidRPr="00215BA9">
        <w:rPr>
          <w:b/>
          <w:lang w:val="fr-FR"/>
        </w:rPr>
        <w:t>amélioration de l'apprentissage :</w:t>
      </w:r>
      <w:r w:rsidR="00B8760D" w:rsidRPr="00215BA9">
        <w:rPr>
          <w:lang w:val="fr-FR"/>
        </w:rPr>
        <w:t xml:space="preserve"> </w:t>
      </w:r>
      <w:r w:rsidR="00215BA9" w:rsidRPr="00215BA9">
        <w:rPr>
          <w:lang w:val="fr-FR"/>
        </w:rPr>
        <w:t>un enregistrement simple et rationnel permet aux entreprises de rendre leurs efforts d’apprentissage visibles</w:t>
      </w:r>
      <w:r w:rsidR="002339E5">
        <w:rPr>
          <w:lang w:val="fr-FR"/>
        </w:rPr>
        <w:t>,</w:t>
      </w:r>
      <w:r w:rsidR="00215BA9" w:rsidRPr="00215BA9">
        <w:rPr>
          <w:lang w:val="fr-FR"/>
        </w:rPr>
        <w:t xml:space="preserve"> par exemple </w:t>
      </w:r>
      <w:r w:rsidR="00346A94">
        <w:rPr>
          <w:lang w:val="fr-FR"/>
        </w:rPr>
        <w:t xml:space="preserve">pour l’aperçu </w:t>
      </w:r>
      <w:r w:rsidR="00215BA9" w:rsidRPr="00215BA9">
        <w:rPr>
          <w:lang w:val="fr-FR"/>
        </w:rPr>
        <w:t xml:space="preserve">dans le bilan social ou </w:t>
      </w:r>
      <w:r w:rsidR="002339E5">
        <w:rPr>
          <w:lang w:val="fr-FR"/>
        </w:rPr>
        <w:t xml:space="preserve">pour </w:t>
      </w:r>
      <w:r w:rsidR="00215BA9" w:rsidRPr="00215BA9">
        <w:rPr>
          <w:lang w:val="fr-FR"/>
        </w:rPr>
        <w:t>des audits, mais également pour assurer un meilleur suivi et corriger les évolutions d'apprentissage des collaborateurs.</w:t>
      </w:r>
    </w:p>
    <w:p w:rsidR="00F96275" w:rsidRPr="00F83077" w:rsidRDefault="00215BA9" w:rsidP="00215BA9">
      <w:pPr>
        <w:spacing w:line="280" w:lineRule="auto"/>
        <w:rPr>
          <w:lang w:val="fr-FR"/>
        </w:rPr>
      </w:pPr>
      <w:r w:rsidRPr="00215BA9">
        <w:rPr>
          <w:lang w:val="fr-FR"/>
        </w:rPr>
        <w:t xml:space="preserve">Les conseillers IFP </w:t>
      </w:r>
      <w:r w:rsidR="002339E5">
        <w:rPr>
          <w:lang w:val="fr-FR"/>
        </w:rPr>
        <w:t>dispensent</w:t>
      </w:r>
      <w:r w:rsidRPr="00215BA9">
        <w:rPr>
          <w:lang w:val="fr-FR"/>
        </w:rPr>
        <w:t xml:space="preserve"> gratuitement des conseils de première ligne sur ces thèmes ou </w:t>
      </w:r>
      <w:r w:rsidR="002339E5">
        <w:rPr>
          <w:lang w:val="fr-FR"/>
        </w:rPr>
        <w:t>renvoient vers</w:t>
      </w:r>
      <w:r w:rsidRPr="00215BA9">
        <w:rPr>
          <w:lang w:val="fr-FR"/>
        </w:rPr>
        <w:t xml:space="preserve"> un expert externe disposant d’une expérience dans l’industrie alimentaire pour un conseil plus approfondi.</w:t>
      </w:r>
      <w:r w:rsidR="005B69F3" w:rsidRPr="00F83077">
        <w:rPr>
          <w:lang w:val="fr-FR"/>
        </w:rPr>
        <w:t xml:space="preserve"> </w:t>
      </w:r>
      <w:r w:rsidRPr="00215BA9">
        <w:rPr>
          <w:lang w:val="fr-FR"/>
        </w:rPr>
        <w:t>Dans le même temps, les différentes possibilités de soutien financier sont également communiquées dans le cadre de ce type de conseil externe.</w:t>
      </w:r>
    </w:p>
    <w:p w:rsidR="005B69F3" w:rsidRPr="00F83077" w:rsidRDefault="00215BA9" w:rsidP="00AE730C">
      <w:pPr>
        <w:spacing w:line="280" w:lineRule="auto"/>
        <w:rPr>
          <w:rStyle w:val="SubtleEmphasis"/>
          <w:lang w:val="fr-FR"/>
        </w:rPr>
      </w:pPr>
      <w:r w:rsidRPr="00215BA9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5B69F3" w:rsidRPr="00F83077">
        <w:rPr>
          <w:rStyle w:val="SubtleEmphasis"/>
          <w:lang w:val="fr-FR"/>
        </w:rPr>
        <w:t xml:space="preserve"> </w:t>
      </w:r>
      <w:r w:rsidR="00346A94">
        <w:rPr>
          <w:rStyle w:val="SubtleEmphasis"/>
          <w:lang w:val="fr-FR"/>
        </w:rPr>
        <w:t>prenez contact avec le conseiller IFP de votre zone géographique (</w:t>
      </w:r>
      <w:r w:rsidR="002E75AF">
        <w:rPr>
          <w:rStyle w:val="SubtleEmphasis"/>
          <w:lang w:val="fr-FR"/>
        </w:rPr>
        <w:t xml:space="preserve">voir </w:t>
      </w:r>
      <w:hyperlink r:id="rId10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346A94">
        <w:rPr>
          <w:rStyle w:val="SubtleEmphasis"/>
          <w:lang w:val="fr-FR"/>
        </w:rPr>
        <w:t>)</w:t>
      </w:r>
    </w:p>
    <w:p w:rsidR="0066332D" w:rsidRPr="00F83077" w:rsidRDefault="0066332D" w:rsidP="002E75AF">
      <w:pPr>
        <w:spacing w:after="0"/>
        <w:rPr>
          <w:lang w:val="fr-FR"/>
        </w:rPr>
      </w:pPr>
      <w:r w:rsidRPr="00F83077">
        <w:rPr>
          <w:lang w:val="fr-FR"/>
        </w:rPr>
        <w:t>(3)</w:t>
      </w:r>
    </w:p>
    <w:p w:rsidR="0066332D" w:rsidRPr="00F83077" w:rsidRDefault="00215BA9" w:rsidP="00A70732">
      <w:pPr>
        <w:spacing w:line="280" w:lineRule="auto"/>
        <w:rPr>
          <w:lang w:val="fr-FR"/>
        </w:rPr>
      </w:pPr>
      <w:r w:rsidRPr="00A70732">
        <w:rPr>
          <w:lang w:val="fr-FR"/>
        </w:rPr>
        <w:t xml:space="preserve">L’IFP donne </w:t>
      </w:r>
      <w:r w:rsidR="002339E5">
        <w:rPr>
          <w:lang w:val="fr-FR"/>
        </w:rPr>
        <w:t>la possibilité</w:t>
      </w:r>
      <w:r w:rsidRPr="00A70732">
        <w:rPr>
          <w:lang w:val="fr-FR"/>
        </w:rPr>
        <w:t xml:space="preserve"> aux entreprises alimentaire</w:t>
      </w:r>
      <w:r w:rsidR="00A70732" w:rsidRPr="00A70732">
        <w:rPr>
          <w:lang w:val="fr-FR"/>
        </w:rPr>
        <w:t>s</w:t>
      </w:r>
      <w:r w:rsidRPr="00A70732">
        <w:rPr>
          <w:lang w:val="fr-FR"/>
        </w:rPr>
        <w:t xml:space="preserve"> de faire effectuer un </w:t>
      </w:r>
      <w:r w:rsidRPr="00A70732">
        <w:rPr>
          <w:b/>
          <w:lang w:val="fr-FR"/>
        </w:rPr>
        <w:t>HR-scan</w:t>
      </w:r>
      <w:r w:rsidRPr="00A70732">
        <w:rPr>
          <w:lang w:val="fr-FR"/>
        </w:rPr>
        <w:t>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 xml:space="preserve">Un HR-scan aide les entreprises à cartographier leur politique RH à l’aide d’un questionnaire qui aborde toutes les couches </w:t>
      </w:r>
      <w:r w:rsidR="002339E5">
        <w:rPr>
          <w:lang w:val="fr-FR"/>
        </w:rPr>
        <w:t>de</w:t>
      </w:r>
      <w:r w:rsidRPr="00A70732">
        <w:rPr>
          <w:lang w:val="fr-FR"/>
        </w:rPr>
        <w:t xml:space="preserve"> l’organisation.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>Cela permet non seulement d’identifier les forces et les faiblesses d’un</w:t>
      </w:r>
      <w:r w:rsidR="00A70732" w:rsidRPr="00A70732">
        <w:rPr>
          <w:lang w:val="fr-FR"/>
        </w:rPr>
        <w:t xml:space="preserve"> grand nombre</w:t>
      </w:r>
      <w:r w:rsidRPr="00A70732">
        <w:rPr>
          <w:lang w:val="fr-FR"/>
        </w:rPr>
        <w:t xml:space="preserve"> de domaines RH, mais également de formuler des conseils précieux afin de professionnaliser davantage la politique RH.</w:t>
      </w:r>
      <w:r w:rsidR="0066332D" w:rsidRPr="00F83077">
        <w:rPr>
          <w:lang w:val="fr-FR"/>
        </w:rPr>
        <w:t xml:space="preserve"> </w:t>
      </w:r>
      <w:r w:rsidRPr="00A70732">
        <w:rPr>
          <w:lang w:val="fr-FR"/>
        </w:rPr>
        <w:t>Différents aspects du ‘développement des compétences' font partie du questionnaire et des conseils.</w:t>
      </w:r>
    </w:p>
    <w:p w:rsidR="00E020CF" w:rsidRDefault="00215BA9" w:rsidP="00C41235">
      <w:pPr>
        <w:spacing w:line="280" w:lineRule="auto"/>
        <w:rPr>
          <w:rStyle w:val="SubtleEmphasis"/>
          <w:lang w:val="fr-FR"/>
        </w:rPr>
      </w:pPr>
      <w:r w:rsidRPr="00215BA9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66332D" w:rsidRPr="00F83077">
        <w:rPr>
          <w:rStyle w:val="SubtleEmphasis"/>
          <w:lang w:val="fr-FR"/>
        </w:rPr>
        <w:t xml:space="preserve"> </w:t>
      </w:r>
      <w:r w:rsidR="00C41235">
        <w:rPr>
          <w:rStyle w:val="SubtleEmphasis"/>
          <w:lang w:val="fr-FR"/>
        </w:rPr>
        <w:t xml:space="preserve">prenez contact avec le conseiller IFP de votre zone géographique </w:t>
      </w:r>
      <w:r w:rsidR="00E020CF">
        <w:rPr>
          <w:rStyle w:val="SubtleEmphasis"/>
          <w:lang w:val="fr-FR"/>
        </w:rPr>
        <w:br/>
      </w:r>
      <w:r w:rsidR="00C41235">
        <w:rPr>
          <w:rStyle w:val="SubtleEmphasis"/>
          <w:lang w:val="fr-FR"/>
        </w:rPr>
        <w:t>(</w:t>
      </w:r>
      <w:r w:rsidR="002E75AF">
        <w:rPr>
          <w:rStyle w:val="SubtleEmphasis"/>
          <w:lang w:val="fr-FR"/>
        </w:rPr>
        <w:t xml:space="preserve">voir </w:t>
      </w:r>
      <w:hyperlink r:id="rId11" w:history="1">
        <w:r w:rsidR="002E75AF" w:rsidRPr="002E75AF">
          <w:rPr>
            <w:rStyle w:val="Hyperlink"/>
            <w:rFonts w:ascii="Calibri" w:hAnsi="Calibri"/>
            <w:i/>
            <w:lang w:val="fr-FR"/>
          </w:rPr>
          <w:t>www.ipv-ifp.be/contact</w:t>
        </w:r>
      </w:hyperlink>
      <w:r w:rsidR="00C41235">
        <w:rPr>
          <w:rStyle w:val="SubtleEmphasis"/>
          <w:lang w:val="fr-FR"/>
        </w:rPr>
        <w:t>)</w:t>
      </w:r>
    </w:p>
    <w:sectPr w:rsidR="00E020CF" w:rsidSect="00E020CF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2FA2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90F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20CF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-ifp.be/Cherch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v-ifp.be/conta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v-ifp.be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v-ifp.be/contac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FDFC-62F6-48AB-9527-49683AFE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3</cp:revision>
  <cp:lastPrinted>2010-12-23T10:27:00Z</cp:lastPrinted>
  <dcterms:created xsi:type="dcterms:W3CDTF">2016-01-25T14:49:00Z</dcterms:created>
  <dcterms:modified xsi:type="dcterms:W3CDTF">2016-01-25T14:53:00Z</dcterms:modified>
</cp:coreProperties>
</file>