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6" w:rsidRPr="00F83077" w:rsidRDefault="00BB133D" w:rsidP="00BB133D">
      <w:pPr>
        <w:pStyle w:val="Heading1"/>
        <w:spacing w:line="280" w:lineRule="auto"/>
        <w:rPr>
          <w:lang w:val="fr-FR"/>
        </w:rPr>
      </w:pPr>
      <w:bookmarkStart w:id="0" w:name="_GoBack"/>
      <w:bookmarkEnd w:id="0"/>
      <w:r w:rsidRPr="00BB133D">
        <w:rPr>
          <w:lang w:val="fr-FR"/>
        </w:rPr>
        <w:t>CCT 104</w:t>
      </w:r>
    </w:p>
    <w:p w:rsidR="00227E26" w:rsidRPr="00F83077" w:rsidRDefault="005511B6" w:rsidP="003A1921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EF2AEB" w:rsidRPr="00EF2AEB">
        <w:rPr>
          <w:lang w:val="fr-FR"/>
        </w:rPr>
        <w:t>Les systèmes de reconnaissance des compétences acquises</w:t>
      </w:r>
      <w:r w:rsidR="003A1921" w:rsidRPr="003A1921">
        <w:rPr>
          <w:lang w:val="fr-FR"/>
        </w:rPr>
        <w:t xml:space="preserve"> -</w:t>
      </w:r>
    </w:p>
    <w:p w:rsidR="00D94EA5" w:rsidRPr="00F83077" w:rsidRDefault="00D94EA5" w:rsidP="00D94EA5">
      <w:pPr>
        <w:rPr>
          <w:lang w:val="fr-FR"/>
        </w:rPr>
      </w:pPr>
    </w:p>
    <w:p w:rsidR="00D94EA5" w:rsidRPr="00F83077" w:rsidRDefault="00D94EA5" w:rsidP="00D94EA5">
      <w:pPr>
        <w:rPr>
          <w:lang w:val="fr-FR"/>
        </w:rPr>
      </w:pPr>
      <w:r w:rsidRPr="00F83077">
        <w:rPr>
          <w:lang w:val="fr-FR"/>
        </w:rPr>
        <w:t>(1)</w:t>
      </w:r>
    </w:p>
    <w:p w:rsidR="00D94EA5" w:rsidRPr="00F83077" w:rsidRDefault="003A1921" w:rsidP="003A1921">
      <w:pPr>
        <w:spacing w:line="280" w:lineRule="auto"/>
        <w:rPr>
          <w:lang w:val="fr-FR"/>
        </w:rPr>
      </w:pPr>
      <w:r w:rsidRPr="003A1921">
        <w:rPr>
          <w:lang w:val="fr-FR"/>
        </w:rPr>
        <w:t xml:space="preserve">L’IFP donne </w:t>
      </w:r>
      <w:r w:rsidR="008F7170">
        <w:rPr>
          <w:lang w:val="fr-FR"/>
        </w:rPr>
        <w:t>la possibilité</w:t>
      </w:r>
      <w:r w:rsidRPr="003A1921">
        <w:rPr>
          <w:lang w:val="fr-FR"/>
        </w:rPr>
        <w:t xml:space="preserve"> aux entreprises alimentaires de faire effectuer un </w:t>
      </w:r>
      <w:r w:rsidRPr="003A1921">
        <w:rPr>
          <w:b/>
          <w:lang w:val="fr-FR"/>
        </w:rPr>
        <w:t>HR-scan</w:t>
      </w:r>
      <w:r w:rsidRPr="003A1921">
        <w:rPr>
          <w:lang w:val="fr-FR"/>
        </w:rPr>
        <w:t>.</w:t>
      </w:r>
      <w:r w:rsidR="00D94EA5" w:rsidRPr="00F83077">
        <w:rPr>
          <w:lang w:val="fr-FR"/>
        </w:rPr>
        <w:t xml:space="preserve"> </w:t>
      </w:r>
      <w:r w:rsidRPr="003A1921">
        <w:rPr>
          <w:lang w:val="fr-FR"/>
        </w:rPr>
        <w:t xml:space="preserve">Un HR-scan aide les entreprises à cartographier leur politique RH à l’aide d’un questionnaire qui aborde toutes les couches </w:t>
      </w:r>
      <w:r w:rsidR="008F7170">
        <w:rPr>
          <w:lang w:val="fr-FR"/>
        </w:rPr>
        <w:t>de</w:t>
      </w:r>
      <w:r w:rsidRPr="003A1921">
        <w:rPr>
          <w:lang w:val="fr-FR"/>
        </w:rPr>
        <w:t xml:space="preserve"> l’organisation.</w:t>
      </w:r>
      <w:r w:rsidR="00D94EA5" w:rsidRPr="00F83077">
        <w:rPr>
          <w:lang w:val="fr-FR"/>
        </w:rPr>
        <w:t xml:space="preserve"> </w:t>
      </w:r>
      <w:r w:rsidRPr="003A1921">
        <w:rPr>
          <w:lang w:val="fr-FR"/>
        </w:rPr>
        <w:t>Cela permet non seulement d’identifier les forces et les faiblesses d’un grand nombre de domaines RH, mais également de formuler des conseils précieux afin de professionnaliser davantage la politique RH.</w:t>
      </w:r>
      <w:r w:rsidR="00D94EA5" w:rsidRPr="00F83077">
        <w:rPr>
          <w:lang w:val="fr-FR"/>
        </w:rPr>
        <w:t xml:space="preserve"> </w:t>
      </w:r>
      <w:r w:rsidR="00E20AA3">
        <w:rPr>
          <w:lang w:val="fr-FR"/>
        </w:rPr>
        <w:t>La reconnaissance</w:t>
      </w:r>
      <w:r w:rsidRPr="003A1921">
        <w:rPr>
          <w:lang w:val="fr-FR"/>
        </w:rPr>
        <w:t xml:space="preserve"> des compétences acquises peut être intégré</w:t>
      </w:r>
      <w:r w:rsidR="00E20AA3">
        <w:rPr>
          <w:lang w:val="fr-FR"/>
        </w:rPr>
        <w:t>e</w:t>
      </w:r>
      <w:r w:rsidRPr="003A1921">
        <w:rPr>
          <w:lang w:val="fr-FR"/>
        </w:rPr>
        <w:t xml:space="preserve"> dans l’analyse et les conseils sous la forme d’un point d’attention spécifique.</w:t>
      </w:r>
    </w:p>
    <w:p w:rsidR="00D94EA5" w:rsidRDefault="003A1921" w:rsidP="003A1921">
      <w:pPr>
        <w:spacing w:line="280" w:lineRule="auto"/>
        <w:rPr>
          <w:rFonts w:ascii="Calibri" w:hAnsi="Calibri"/>
          <w:i/>
          <w:iCs/>
          <w:color w:val="7F7F7F" w:themeColor="text1" w:themeTint="80"/>
          <w:lang w:val="fr-FR"/>
        </w:rPr>
      </w:pPr>
      <w:r w:rsidRPr="003A1921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D94EA5" w:rsidRPr="00F83077">
        <w:rPr>
          <w:rStyle w:val="SubtleEmphasis"/>
          <w:lang w:val="fr-FR"/>
        </w:rPr>
        <w:t xml:space="preserve"> </w:t>
      </w:r>
      <w:r w:rsidR="00507E63"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8" w:history="1">
        <w:r w:rsidR="00507E63"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 w:rsidR="00507E63"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p w:rsidR="001141A6" w:rsidRPr="00F83077" w:rsidRDefault="001141A6" w:rsidP="001141A6">
      <w:pPr>
        <w:rPr>
          <w:lang w:val="fr-FR"/>
        </w:rPr>
      </w:pPr>
      <w:r w:rsidRPr="00F83077">
        <w:rPr>
          <w:lang w:val="fr-FR"/>
        </w:rPr>
        <w:t>(</w:t>
      </w:r>
      <w:r>
        <w:rPr>
          <w:lang w:val="fr-FR"/>
        </w:rPr>
        <w:t>2</w:t>
      </w:r>
      <w:r w:rsidRPr="00F83077">
        <w:rPr>
          <w:lang w:val="fr-FR"/>
        </w:rPr>
        <w:t>)</w:t>
      </w:r>
    </w:p>
    <w:p w:rsidR="00FD79A5" w:rsidRDefault="001141A6" w:rsidP="001141A6">
      <w:pPr>
        <w:spacing w:line="280" w:lineRule="auto"/>
        <w:rPr>
          <w:lang w:val="fr-FR"/>
        </w:rPr>
      </w:pPr>
      <w:r w:rsidRPr="003A1921">
        <w:rPr>
          <w:lang w:val="fr-FR"/>
        </w:rPr>
        <w:t xml:space="preserve">L’IFP </w:t>
      </w:r>
      <w:r>
        <w:rPr>
          <w:lang w:val="fr-FR"/>
        </w:rPr>
        <w:t>soutient le dispositif francophone de val</w:t>
      </w:r>
      <w:r w:rsidR="002E5B8E">
        <w:rPr>
          <w:lang w:val="fr-FR"/>
        </w:rPr>
        <w:t>idation des compétences (</w:t>
      </w:r>
      <w:hyperlink r:id="rId9" w:history="1">
        <w:r w:rsidR="002E75AF" w:rsidRPr="00AB2486">
          <w:rPr>
            <w:rStyle w:val="Hyperlink"/>
            <w:lang w:val="fr-FR"/>
          </w:rPr>
          <w:t>www.cvdc.be</w:t>
        </w:r>
      </w:hyperlink>
      <w:r w:rsidR="002E5B8E">
        <w:rPr>
          <w:lang w:val="fr-FR"/>
        </w:rPr>
        <w:t>)</w:t>
      </w:r>
      <w:r w:rsidR="001133D9">
        <w:rPr>
          <w:lang w:val="fr-FR"/>
        </w:rPr>
        <w:t xml:space="preserve"> en contribuant activement à l’élaboration de ré</w:t>
      </w:r>
      <w:r w:rsidR="00FD79A5">
        <w:rPr>
          <w:lang w:val="fr-FR"/>
        </w:rPr>
        <w:t>férentiels de compétences pour l</w:t>
      </w:r>
      <w:r w:rsidR="001133D9">
        <w:rPr>
          <w:lang w:val="fr-FR"/>
        </w:rPr>
        <w:t xml:space="preserve">es métiers </w:t>
      </w:r>
      <w:r w:rsidR="00FD79A5">
        <w:rPr>
          <w:lang w:val="fr-FR"/>
        </w:rPr>
        <w:t>suivants :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Opérateur de production en industrie alimentaire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Conducteur de ligne de production en industrie alimentaire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Ouvrier boulanger – pâtissier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Découpeur – désosseur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Préparateur – vendeur en boucherie</w:t>
      </w:r>
    </w:p>
    <w:p w:rsidR="001141A6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Opérateur de production sur ligne industrielle</w:t>
      </w:r>
    </w:p>
    <w:p w:rsidR="00FD79A5" w:rsidRDefault="00FD79A5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Tuteur en entreprise</w:t>
      </w:r>
    </w:p>
    <w:p w:rsidR="00706416" w:rsidRDefault="00706416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Conducteur de chariot élévateur</w:t>
      </w:r>
    </w:p>
    <w:p w:rsidR="00706416" w:rsidRPr="00FD79A5" w:rsidRDefault="00706416" w:rsidP="00FD79A5">
      <w:pPr>
        <w:pStyle w:val="ListParagraph"/>
        <w:numPr>
          <w:ilvl w:val="0"/>
          <w:numId w:val="26"/>
        </w:numPr>
        <w:spacing w:line="280" w:lineRule="auto"/>
        <w:rPr>
          <w:lang w:val="fr-FR"/>
        </w:rPr>
      </w:pPr>
      <w:r>
        <w:rPr>
          <w:lang w:val="fr-FR"/>
        </w:rPr>
        <w:t>magasinier</w:t>
      </w:r>
    </w:p>
    <w:p w:rsidR="00F11537" w:rsidRPr="00F11537" w:rsidRDefault="00F11537" w:rsidP="00F11537">
      <w:pPr>
        <w:spacing w:line="280" w:lineRule="auto"/>
        <w:rPr>
          <w:b/>
          <w:lang w:val="fr-BE"/>
        </w:rPr>
      </w:pPr>
      <w:r w:rsidRPr="00F11537">
        <w:rPr>
          <w:b/>
          <w:lang w:val="fr-BE"/>
        </w:rPr>
        <w:t>Reconnaître les compétences acquises en entreprises !</w:t>
      </w:r>
    </w:p>
    <w:p w:rsidR="00F11537" w:rsidRPr="00F11537" w:rsidRDefault="00F11537" w:rsidP="00F11537">
      <w:pPr>
        <w:spacing w:line="280" w:lineRule="auto"/>
        <w:rPr>
          <w:lang w:val="fr-BE"/>
        </w:rPr>
      </w:pPr>
      <w:r w:rsidRPr="00F11537">
        <w:rPr>
          <w:lang w:val="fr-BE"/>
        </w:rPr>
        <w:t xml:space="preserve">Bien des compétences sont acquises au départ des activités et des formations réalisées en entreprise. La validation des compétences constitue </w:t>
      </w:r>
      <w:r w:rsidR="002E5B8E">
        <w:rPr>
          <w:lang w:val="fr-BE"/>
        </w:rPr>
        <w:t xml:space="preserve">donc </w:t>
      </w:r>
      <w:r w:rsidRPr="00F11537">
        <w:rPr>
          <w:lang w:val="fr-BE"/>
        </w:rPr>
        <w:t xml:space="preserve">une opportunité </w:t>
      </w:r>
      <w:r w:rsidR="002E5B8E">
        <w:rPr>
          <w:lang w:val="fr-BE"/>
        </w:rPr>
        <w:t xml:space="preserve">réelle </w:t>
      </w:r>
      <w:r w:rsidRPr="00F11537">
        <w:rPr>
          <w:lang w:val="fr-BE"/>
        </w:rPr>
        <w:t>pour leur reconnaissance au départ d’un dispositif neutre, fiable et construit sur une démarche qualité.</w:t>
      </w:r>
      <w:r w:rsidR="00C22FA3">
        <w:rPr>
          <w:lang w:val="fr-BE"/>
        </w:rPr>
        <w:t xml:space="preserve"> Sachant que 30% des travailleurs du secteur sont peu qualifiés et que 40% le sont moyennement, le système de </w:t>
      </w:r>
      <w:proofErr w:type="spellStart"/>
      <w:r w:rsidR="00C22FA3">
        <w:rPr>
          <w:lang w:val="fr-BE"/>
        </w:rPr>
        <w:t>VdC</w:t>
      </w:r>
      <w:proofErr w:type="spellEnd"/>
      <w:r w:rsidR="00C22FA3">
        <w:rPr>
          <w:lang w:val="fr-BE"/>
        </w:rPr>
        <w:t xml:space="preserve"> représente donc une </w:t>
      </w:r>
      <w:proofErr w:type="gramStart"/>
      <w:r w:rsidR="00C22FA3">
        <w:rPr>
          <w:lang w:val="fr-BE"/>
        </w:rPr>
        <w:t>réelle</w:t>
      </w:r>
      <w:proofErr w:type="gramEnd"/>
      <w:r w:rsidR="00C22FA3">
        <w:rPr>
          <w:lang w:val="fr-BE"/>
        </w:rPr>
        <w:t xml:space="preserve"> opportunité dont il faut se saisir.</w:t>
      </w:r>
    </w:p>
    <w:p w:rsidR="001141A6" w:rsidRPr="00F83077" w:rsidRDefault="002E5B8E" w:rsidP="001141A6">
      <w:pPr>
        <w:spacing w:line="280" w:lineRule="auto"/>
        <w:rPr>
          <w:lang w:val="fr-FR"/>
        </w:rPr>
      </w:pPr>
      <w:r>
        <w:rPr>
          <w:lang w:val="fr-FR"/>
        </w:rPr>
        <w:t xml:space="preserve">Dans ce cadre, </w:t>
      </w:r>
      <w:r w:rsidR="00FF030D">
        <w:rPr>
          <w:lang w:val="fr-FR"/>
        </w:rPr>
        <w:t xml:space="preserve">l’IFP </w:t>
      </w:r>
      <w:r>
        <w:rPr>
          <w:lang w:val="fr-FR"/>
        </w:rPr>
        <w:t xml:space="preserve">peut aider l’entreprise alimentaire </w:t>
      </w:r>
      <w:r w:rsidR="00C22FA3">
        <w:rPr>
          <w:lang w:val="fr-FR"/>
        </w:rPr>
        <w:t xml:space="preserve">à mettre en place le dispositif de </w:t>
      </w:r>
      <w:proofErr w:type="spellStart"/>
      <w:r w:rsidR="00C22FA3">
        <w:rPr>
          <w:lang w:val="fr-FR"/>
        </w:rPr>
        <w:t>VdC</w:t>
      </w:r>
      <w:proofErr w:type="spellEnd"/>
      <w:r w:rsidR="00C22FA3">
        <w:rPr>
          <w:lang w:val="fr-FR"/>
        </w:rPr>
        <w:t xml:space="preserve"> pour ses travailleurs qui le souhaitent, soit au sein même de l’entreprise, soit dans un centre agréé.</w:t>
      </w:r>
    </w:p>
    <w:p w:rsidR="001141A6" w:rsidRPr="00F83077" w:rsidRDefault="001141A6" w:rsidP="003A1921">
      <w:pPr>
        <w:spacing w:line="280" w:lineRule="auto"/>
        <w:rPr>
          <w:rStyle w:val="SubtleEmphasis"/>
          <w:lang w:val="fr-FR"/>
        </w:rPr>
      </w:pPr>
      <w:r w:rsidRPr="003A1921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Pr="00F83077">
        <w:rPr>
          <w:rStyle w:val="SubtleEmphasis"/>
          <w:lang w:val="fr-FR"/>
        </w:rPr>
        <w:t xml:space="preserve"> </w:t>
      </w:r>
      <w:r>
        <w:rPr>
          <w:rFonts w:ascii="Calibri" w:hAnsi="Calibri"/>
          <w:i/>
          <w:iCs/>
          <w:color w:val="7F7F7F" w:themeColor="text1" w:themeTint="80"/>
          <w:lang w:val="fr-FR"/>
        </w:rPr>
        <w:t xml:space="preserve">Frédéric Baugniet, </w:t>
      </w:r>
      <w:hyperlink r:id="rId10" w:history="1">
        <w:r w:rsidRPr="00071020">
          <w:rPr>
            <w:rStyle w:val="Hyperlink"/>
            <w:rFonts w:ascii="Calibri" w:hAnsi="Calibri"/>
            <w:i/>
            <w:iCs/>
            <w:lang w:val="fr-FR"/>
          </w:rPr>
          <w:t>frederic.baugniet@ipv-ifp.be</w:t>
        </w:r>
      </w:hyperlink>
      <w:r>
        <w:rPr>
          <w:rFonts w:ascii="Calibri" w:hAnsi="Calibri"/>
          <w:i/>
          <w:iCs/>
          <w:color w:val="7F7F7F" w:themeColor="text1" w:themeTint="80"/>
          <w:lang w:val="fr-FR"/>
        </w:rPr>
        <w:t>, IFP, 0476 90 18 25</w:t>
      </w:r>
    </w:p>
    <w:sectPr w:rsidR="001141A6" w:rsidRPr="00F83077" w:rsidSect="00AA6878">
      <w:head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numPicBullet w:numPicBulletId="3">
    <w:pict>
      <v:shape id="_x0000_i1079" type="#_x0000_t75" style="width:3in;height:3in" o:bullet="t"/>
    </w:pict>
  </w:numPicBullet>
  <w:numPicBullet w:numPicBulletId="4">
    <w:pict>
      <v:shape id="_x0000_i1080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528E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0FEC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14C9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baugniet@ipv-if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ederic.baugniet@ipv-ifp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d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5164-0CD9-4B83-8EB3-2CDD4135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3</cp:revision>
  <cp:lastPrinted>2010-12-23T10:27:00Z</cp:lastPrinted>
  <dcterms:created xsi:type="dcterms:W3CDTF">2016-01-25T15:10:00Z</dcterms:created>
  <dcterms:modified xsi:type="dcterms:W3CDTF">2016-01-25T15:11:00Z</dcterms:modified>
</cp:coreProperties>
</file>